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3E64D">
      <w:pPr>
        <w:jc w:val="center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bookmarkStart w:id="0" w:name="OLE_LINK6"/>
      <w:r>
        <w:rPr>
          <w:rFonts w:hint="eastAsia" w:cs="Times New Roman"/>
          <w:b/>
          <w:bCs/>
          <w:sz w:val="28"/>
          <w:szCs w:val="28"/>
          <w:lang w:val="en-US" w:eastAsia="zh-CN"/>
        </w:rPr>
        <w:t>附录</w:t>
      </w:r>
    </w:p>
    <w:bookmarkEnd w:id="0"/>
    <w:p w14:paraId="34EEC9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auto"/>
        <w:rPr>
          <w:rFonts w:hint="eastAsia" w:cstheme="minorBidi"/>
          <w:b/>
          <w:bCs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28B42C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auto"/>
        <w:rPr>
          <w:rFonts w:hint="eastAsia" w:ascii="Times New Roman" w:hAnsi="Times New Roman" w:eastAsia="宋体" w:cstheme="minorBidi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theme="minorBidi"/>
          <w:b/>
          <w:bCs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文章</w:t>
      </w:r>
      <w:r>
        <w:rPr>
          <w:rFonts w:hint="eastAsia" w:ascii="Times New Roman" w:hAnsi="Times New Roman" w:eastAsia="宋体" w:cstheme="minorBidi"/>
          <w:b/>
          <w:b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题目</w:t>
      </w:r>
      <w:r>
        <w:rPr>
          <w:rFonts w:hint="eastAsia" w:ascii="Times New Roman" w:hAnsi="Times New Roman" w:eastAsia="宋体" w:cstheme="minorBidi"/>
          <w:b w:val="0"/>
          <w:bCs w:val="0"/>
          <w:color w:val="000000" w:themeColor="text1"/>
          <w:kern w:val="2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eastAsia="宋体" w:cstheme="minorBidi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企业数字化转型中员工工作重塑路径研究</w:t>
      </w:r>
      <w:r>
        <w:rPr>
          <w:rFonts w:hint="eastAsia" w:ascii="Times New Roman" w:hAnsi="Times New Roman" w:eastAsia="宋体" w:cstheme="minorBidi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——基于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个人-环境匹</w:t>
      </w:r>
      <w:r>
        <w:rPr>
          <w:rFonts w:hint="eastAsia" w:ascii="Times New Roman" w:hAnsi="Times New Roman" w:eastAsia="宋体" w:cstheme="minorBidi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配理论的</w:t>
      </w:r>
      <w:r>
        <w:rPr>
          <w:rFonts w:hint="eastAsia" w:eastAsia="宋体" w:cstheme="minorBidi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fsQCA</w:t>
      </w:r>
      <w:r>
        <w:rPr>
          <w:rFonts w:hint="eastAsia" w:ascii="Times New Roman" w:hAnsi="Times New Roman" w:eastAsia="宋体" w:cstheme="minorBidi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分析</w:t>
      </w:r>
    </w:p>
    <w:p w14:paraId="4E3E72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宋体" w:hAnsi="宋体" w:eastAsia="宋体" w:cs="宋体"/>
          <w:color w:val="0000FF"/>
          <w:kern w:val="0"/>
          <w:szCs w:val="21"/>
        </w:rPr>
      </w:pPr>
      <w:bookmarkStart w:id="3" w:name="_GoBack"/>
      <w:bookmarkEnd w:id="3"/>
    </w:p>
    <w:p w14:paraId="0B30BA17">
      <w:pPr>
        <w:keepNext w:val="0"/>
        <w:keepLines w:val="0"/>
        <w:pageBreakBefore w:val="0"/>
        <w:widowControl/>
        <w:pBdr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420" w:firstLineChars="200"/>
        <w:jc w:val="left"/>
        <w:textAlignment w:val="auto"/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因篇幅所限，部分路径的</w:t>
      </w:r>
      <w:r>
        <w:rPr>
          <w:rFonts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解释案例</w:t>
      </w:r>
      <w:r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图相关内容正文略去，在此进行补充呈现。</w:t>
      </w:r>
    </w:p>
    <w:p w14:paraId="257E2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cs="Times New Roman" w:eastAsiaTheme="minorEastAsia"/>
          <w:b w:val="0"/>
          <w:bCs w:val="0"/>
          <w:sz w:val="21"/>
          <w:szCs w:val="21"/>
        </w:rPr>
      </w:pPr>
      <w:r>
        <w:rPr>
          <w:rFonts w:hint="eastAsia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为形象直观地展示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正文中</w:t>
      </w:r>
      <w:r>
        <w:rPr>
          <w:rFonts w:hint="eastAsia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各路径与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其所解释案</w:t>
      </w:r>
      <w:r>
        <w:rPr>
          <w:rFonts w:hint="eastAsia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例所在岗位的对应关系，作者</w:t>
      </w:r>
      <w:r>
        <w:rPr>
          <w:rFonts w:hint="eastAsia" w:cs="Times New Roman" w:eastAsiaTheme="minorEastAsia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首先参考谭海波等（2019）</w:t>
      </w:r>
      <w:r>
        <w:rPr>
          <w:rFonts w:hint="eastAsia" w:cs="Times New Roman"/>
          <w:b w:val="0"/>
          <w:bCs w:val="0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cs="Times New Roman"/>
          <w:b w:val="0"/>
          <w:bCs w:val="0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instrText xml:space="preserve"> REF _Ref24167 \r \h </w:instrText>
      </w:r>
      <w:r>
        <w:rPr>
          <w:rFonts w:hint="eastAsia" w:cs="Times New Roman"/>
          <w:b w:val="0"/>
          <w:bCs w:val="0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cs="Times New Roman"/>
          <w:b w:val="0"/>
          <w:bCs w:val="0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[1]</w:t>
      </w:r>
      <w:r>
        <w:rPr>
          <w:rFonts w:hint="eastAsia" w:cs="Times New Roman"/>
          <w:b w:val="0"/>
          <w:bCs w:val="0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cs="Times New Roman" w:eastAsiaTheme="minorEastAsia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、陶克涛等（2021）</w:t>
      </w:r>
      <w:r>
        <w:rPr>
          <w:rFonts w:hint="eastAsia" w:cs="Times New Roman"/>
          <w:b w:val="0"/>
          <w:bCs w:val="0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cs="Times New Roman"/>
          <w:b w:val="0"/>
          <w:bCs w:val="0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instrText xml:space="preserve"> REF _Ref24189 \r \h </w:instrText>
      </w:r>
      <w:r>
        <w:rPr>
          <w:rFonts w:hint="eastAsia" w:cs="Times New Roman"/>
          <w:b w:val="0"/>
          <w:bCs w:val="0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cs="Times New Roman"/>
          <w:b w:val="0"/>
          <w:bCs w:val="0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[2]</w:t>
      </w:r>
      <w:r>
        <w:rPr>
          <w:rFonts w:hint="eastAsia" w:cs="Times New Roman"/>
          <w:b w:val="0"/>
          <w:bCs w:val="0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cs="Times New Roman" w:eastAsiaTheme="minorEastAsia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的做法，依次计算高促进型</w:t>
      </w:r>
      <w:r>
        <w:rPr>
          <w:rFonts w:hint="eastAsia" w:cs="Times New Roman" w:eastAsiaTheme="minor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/高预防型</w:t>
      </w:r>
      <w:r>
        <w:rPr>
          <w:rFonts w:hint="eastAsia" w:cs="Times New Roman" w:eastAsiaTheme="minorEastAsia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工作重塑每条路径的隶属度，并分别以各路径的隶属度作为</w:t>
      </w:r>
      <w:r>
        <w:rPr>
          <w:rFonts w:hint="eastAsia" w:cs="Times New Roman" w:eastAsiaTheme="minor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x</w:t>
      </w:r>
      <w:r>
        <w:rPr>
          <w:rFonts w:hint="eastAsia" w:cs="Times New Roman" w:eastAsiaTheme="minorEastAsia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轴、</w:t>
      </w:r>
      <w:r>
        <w:rPr>
          <w:rFonts w:hint="eastAsia" w:cs="Times New Roman" w:eastAsiaTheme="minor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以</w:t>
      </w:r>
      <w:r>
        <w:rPr>
          <w:rFonts w:hint="eastAsia" w:cs="Times New Roman" w:eastAsiaTheme="minorEastAsia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高促进型/高预防型工作重塑的隶属度作为y轴，</w:t>
      </w:r>
      <w:r>
        <w:rPr>
          <w:rFonts w:hint="eastAsia" w:cs="Times New Roman" w:eastAsiaTheme="minor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以</w:t>
      </w:r>
      <w:r>
        <w:rPr>
          <w:rFonts w:hint="eastAsia" w:cs="Times New Roman" w:eastAsiaTheme="minorEastAsia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所在岗位</w:t>
      </w:r>
      <w:r>
        <w:rPr>
          <w:rFonts w:hint="eastAsia" w:cs="Times New Roman" w:eastAsiaTheme="minor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作为</w:t>
      </w:r>
      <w:r>
        <w:rPr>
          <w:rFonts w:hint="eastAsia" w:cs="Times New Roman" w:eastAsiaTheme="minorEastAsia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案例标签，</w:t>
      </w:r>
      <w:r>
        <w:rPr>
          <w:rFonts w:hint="eastAsia" w:cs="Times New Roman" w:eastAsiaTheme="minor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绘制各工作重塑形成路径与解释案例的关系图</w:t>
      </w:r>
      <w:r>
        <w:rPr>
          <w:rFonts w:hint="eastAsia" w:cs="Times New Roman" w:eastAsiaTheme="minorEastAsia"/>
          <w:b w:val="0"/>
          <w:bCs w:val="0"/>
          <w:sz w:val="21"/>
          <w:szCs w:val="21"/>
        </w:rPr>
        <w:t>。高促进型工作重塑的7条</w:t>
      </w:r>
      <w:r>
        <w:rPr>
          <w:rFonts w:hint="eastAsia" w:cs="Times New Roman" w:eastAsiaTheme="minorEastAsia"/>
          <w:b w:val="0"/>
          <w:bCs w:val="0"/>
          <w:sz w:val="21"/>
          <w:szCs w:val="21"/>
          <w:lang w:val="en-US" w:eastAsia="zh-CN"/>
        </w:rPr>
        <w:t>组态路径</w:t>
      </w:r>
      <w:r>
        <w:rPr>
          <w:rFonts w:hint="eastAsia" w:cs="Times New Roman" w:eastAsiaTheme="minorEastAsia"/>
          <w:b w:val="0"/>
          <w:bCs w:val="0"/>
          <w:sz w:val="21"/>
          <w:szCs w:val="21"/>
        </w:rPr>
        <w:t>、高预防型工作重塑的4条</w:t>
      </w:r>
      <w:r>
        <w:rPr>
          <w:rFonts w:hint="eastAsia" w:cs="Times New Roman" w:eastAsiaTheme="minorEastAsia"/>
          <w:b w:val="0"/>
          <w:bCs w:val="0"/>
          <w:sz w:val="21"/>
          <w:szCs w:val="21"/>
          <w:lang w:val="en-US" w:eastAsia="zh-CN"/>
        </w:rPr>
        <w:t>组态</w:t>
      </w:r>
      <w:r>
        <w:rPr>
          <w:rFonts w:hint="eastAsia" w:cs="Times New Roman" w:eastAsiaTheme="minorEastAsia"/>
          <w:b w:val="0"/>
          <w:bCs w:val="0"/>
          <w:sz w:val="21"/>
          <w:szCs w:val="21"/>
        </w:rPr>
        <w:t>路径所对应的</w:t>
      </w:r>
      <w:r>
        <w:rPr>
          <w:rFonts w:hint="eastAsia" w:cs="Times New Roman" w:eastAsiaTheme="minorEastAsia"/>
          <w:b w:val="0"/>
          <w:bCs w:val="0"/>
          <w:sz w:val="21"/>
          <w:szCs w:val="21"/>
          <w:lang w:val="en-US" w:eastAsia="zh-CN"/>
        </w:rPr>
        <w:t>解释</w:t>
      </w:r>
      <w:r>
        <w:rPr>
          <w:rFonts w:hint="eastAsia" w:cs="Times New Roman" w:eastAsiaTheme="minorEastAsia"/>
          <w:b w:val="0"/>
          <w:bCs w:val="0"/>
          <w:sz w:val="21"/>
          <w:szCs w:val="21"/>
        </w:rPr>
        <w:t>案例</w:t>
      </w:r>
      <w:r>
        <w:rPr>
          <w:rFonts w:hint="eastAsia" w:cs="Times New Roman" w:eastAsiaTheme="minorEastAsia"/>
          <w:b w:val="0"/>
          <w:bCs w:val="0"/>
          <w:sz w:val="21"/>
          <w:szCs w:val="21"/>
          <w:lang w:val="en-US" w:eastAsia="zh-CN"/>
        </w:rPr>
        <w:t>分别如附</w:t>
      </w:r>
      <w:r>
        <w:rPr>
          <w:rFonts w:hint="eastAsia" w:cs="Times New Roman" w:eastAsiaTheme="minorEastAsia"/>
          <w:b w:val="0"/>
          <w:bCs w:val="0"/>
          <w:sz w:val="21"/>
          <w:szCs w:val="21"/>
        </w:rPr>
        <w:t>图1-</w:t>
      </w:r>
      <w:r>
        <w:rPr>
          <w:rFonts w:hint="eastAsia" w:cs="Times New Roman" w:eastAsiaTheme="minorEastAsia"/>
          <w:b w:val="0"/>
          <w:bCs w:val="0"/>
          <w:sz w:val="21"/>
          <w:szCs w:val="21"/>
          <w:lang w:val="en-US" w:eastAsia="zh-CN"/>
        </w:rPr>
        <w:t>附</w:t>
      </w:r>
      <w:r>
        <w:rPr>
          <w:rFonts w:hint="eastAsia" w:cs="Times New Roman" w:eastAsiaTheme="minorEastAsia"/>
          <w:b w:val="0"/>
          <w:bCs w:val="0"/>
          <w:sz w:val="21"/>
          <w:szCs w:val="21"/>
        </w:rPr>
        <w:t>图11</w:t>
      </w:r>
      <w:r>
        <w:rPr>
          <w:rFonts w:hint="eastAsia" w:cs="Times New Roman" w:eastAsiaTheme="minorEastAsia"/>
          <w:b w:val="0"/>
          <w:bCs w:val="0"/>
          <w:sz w:val="21"/>
          <w:szCs w:val="21"/>
          <w:lang w:val="en-US" w:eastAsia="zh-CN"/>
        </w:rPr>
        <w:t>所示</w:t>
      </w:r>
      <w:r>
        <w:rPr>
          <w:rFonts w:hint="eastAsia" w:cs="Times New Roman" w:eastAsiaTheme="minorEastAsia"/>
          <w:b w:val="0"/>
          <w:bCs w:val="0"/>
          <w:sz w:val="21"/>
          <w:szCs w:val="21"/>
        </w:rPr>
        <w:t>。</w:t>
      </w:r>
    </w:p>
    <w:tbl>
      <w:tblPr>
        <w:tblStyle w:val="8"/>
        <w:tblW w:w="9783" w:type="dxa"/>
        <w:tblInd w:w="-66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0"/>
        <w:gridCol w:w="4853"/>
      </w:tblGrid>
      <w:tr w14:paraId="3A043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3" w:hRule="atLeast"/>
        </w:trPr>
        <w:tc>
          <w:tcPr>
            <w:tcW w:w="4930" w:type="dxa"/>
            <w:tcBorders>
              <w:tl2br w:val="nil"/>
              <w:tr2bl w:val="nil"/>
            </w:tcBorders>
            <w:vAlign w:val="center"/>
          </w:tcPr>
          <w:p w14:paraId="609F3A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4" w:lineRule="auto"/>
              <w:jc w:val="center"/>
              <w:rPr>
                <w:rFonts w:cs="Times New Roman" w:eastAsiaTheme="minorEastAsia"/>
                <w:sz w:val="21"/>
                <w:szCs w:val="21"/>
              </w:rPr>
            </w:pPr>
            <w:r>
              <w:drawing>
                <wp:inline distT="0" distB="0" distL="114300" distR="114300">
                  <wp:extent cx="2879725" cy="1840230"/>
                  <wp:effectExtent l="0" t="0" r="15875" b="7620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184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3" w:type="dxa"/>
            <w:tcBorders>
              <w:tl2br w:val="nil"/>
              <w:tr2bl w:val="nil"/>
            </w:tcBorders>
            <w:vAlign w:val="center"/>
          </w:tcPr>
          <w:p w14:paraId="4830A5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4" w:lineRule="auto"/>
              <w:jc w:val="center"/>
              <w:rPr>
                <w:rFonts w:cs="Times New Roman" w:eastAsiaTheme="minorEastAsia"/>
                <w:sz w:val="21"/>
                <w:szCs w:val="21"/>
              </w:rPr>
            </w:pPr>
            <w:r>
              <w:drawing>
                <wp:inline distT="0" distB="0" distL="114300" distR="114300">
                  <wp:extent cx="2879725" cy="1840230"/>
                  <wp:effectExtent l="0" t="0" r="15875" b="7620"/>
                  <wp:docPr id="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184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A500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930" w:type="dxa"/>
            <w:tcBorders>
              <w:tl2br w:val="nil"/>
              <w:tr2bl w:val="nil"/>
            </w:tcBorders>
            <w:vAlign w:val="center"/>
          </w:tcPr>
          <w:p w14:paraId="58F6D4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val="en-US" w:eastAsia="zh-CN"/>
              </w:rPr>
              <w:t>附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图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instrText xml:space="preserve"> SEQ 图 \* ARABIC </w:instrTex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fldChar w:fldCharType="end"/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 xml:space="preserve"> 路径1_1a的解释案例</w:t>
            </w:r>
          </w:p>
        </w:tc>
        <w:tc>
          <w:tcPr>
            <w:tcW w:w="4853" w:type="dxa"/>
            <w:tcBorders>
              <w:tl2br w:val="nil"/>
              <w:tr2bl w:val="nil"/>
            </w:tcBorders>
            <w:vAlign w:val="center"/>
          </w:tcPr>
          <w:p w14:paraId="4B43A5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val="en-US" w:eastAsia="zh-CN"/>
              </w:rPr>
              <w:t>附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图2 路径1_1b的解释案例</w:t>
            </w:r>
          </w:p>
        </w:tc>
      </w:tr>
      <w:tr w14:paraId="4A54D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30" w:type="dxa"/>
            <w:tcBorders>
              <w:tl2br w:val="nil"/>
              <w:tr2bl w:val="nil"/>
            </w:tcBorders>
            <w:vAlign w:val="center"/>
          </w:tcPr>
          <w:p w14:paraId="28E783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4" w:lineRule="auto"/>
              <w:jc w:val="center"/>
              <w:rPr>
                <w:rFonts w:cs="Times New Roman" w:eastAsiaTheme="minorEastAsia"/>
                <w:sz w:val="21"/>
                <w:szCs w:val="21"/>
              </w:rPr>
            </w:pPr>
            <w:r>
              <w:drawing>
                <wp:inline distT="0" distB="0" distL="114300" distR="114300">
                  <wp:extent cx="2879725" cy="1840230"/>
                  <wp:effectExtent l="0" t="0" r="15875" b="7620"/>
                  <wp:docPr id="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184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3" w:type="dxa"/>
            <w:tcBorders>
              <w:tl2br w:val="nil"/>
              <w:tr2bl w:val="nil"/>
            </w:tcBorders>
            <w:vAlign w:val="center"/>
          </w:tcPr>
          <w:p w14:paraId="0548FD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4" w:lineRule="auto"/>
              <w:jc w:val="center"/>
              <w:rPr>
                <w:rFonts w:cs="Times New Roman" w:eastAsiaTheme="minorEastAsia"/>
                <w:sz w:val="21"/>
                <w:szCs w:val="21"/>
              </w:rPr>
            </w:pPr>
            <w:r>
              <w:drawing>
                <wp:inline distT="0" distB="0" distL="114300" distR="114300">
                  <wp:extent cx="2879725" cy="1840230"/>
                  <wp:effectExtent l="0" t="0" r="15875" b="7620"/>
                  <wp:docPr id="6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184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7351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30" w:type="dxa"/>
            <w:tcBorders>
              <w:tl2br w:val="nil"/>
              <w:tr2bl w:val="nil"/>
            </w:tcBorders>
            <w:vAlign w:val="center"/>
          </w:tcPr>
          <w:p w14:paraId="34357A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val="en-US" w:eastAsia="zh-CN"/>
              </w:rPr>
              <w:t>附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图3 路径1_2a的解释案例</w:t>
            </w:r>
          </w:p>
        </w:tc>
        <w:tc>
          <w:tcPr>
            <w:tcW w:w="4853" w:type="dxa"/>
            <w:tcBorders>
              <w:tl2br w:val="nil"/>
              <w:tr2bl w:val="nil"/>
            </w:tcBorders>
            <w:vAlign w:val="center"/>
          </w:tcPr>
          <w:p w14:paraId="3493B7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val="en-US" w:eastAsia="zh-CN"/>
              </w:rPr>
              <w:t>附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图4 路径1_2b的解释案例</w:t>
            </w:r>
          </w:p>
        </w:tc>
      </w:tr>
      <w:tr w14:paraId="02F0E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30" w:type="dxa"/>
            <w:tcBorders>
              <w:tl2br w:val="nil"/>
              <w:tr2bl w:val="nil"/>
            </w:tcBorders>
            <w:vAlign w:val="center"/>
          </w:tcPr>
          <w:p w14:paraId="5D8084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4" w:lineRule="auto"/>
              <w:jc w:val="center"/>
              <w:outlineLvl w:val="2"/>
              <w:rPr>
                <w:rFonts w:cs="Times New Roman" w:eastAsia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114300" distR="114300">
                  <wp:extent cx="2879725" cy="1840230"/>
                  <wp:effectExtent l="0" t="0" r="15875" b="7620"/>
                  <wp:docPr id="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184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3" w:type="dxa"/>
            <w:tcBorders>
              <w:tl2br w:val="nil"/>
              <w:tr2bl w:val="nil"/>
            </w:tcBorders>
            <w:vAlign w:val="center"/>
          </w:tcPr>
          <w:p w14:paraId="0B4548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4" w:lineRule="auto"/>
              <w:jc w:val="center"/>
            </w:pPr>
            <w:r>
              <w:drawing>
                <wp:inline distT="0" distB="0" distL="114300" distR="114300">
                  <wp:extent cx="2879725" cy="1840230"/>
                  <wp:effectExtent l="0" t="0" r="15875" b="7620"/>
                  <wp:docPr id="9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184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185E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30" w:type="dxa"/>
            <w:tcBorders>
              <w:tl2br w:val="nil"/>
              <w:tr2bl w:val="nil"/>
            </w:tcBorders>
            <w:vAlign w:val="center"/>
          </w:tcPr>
          <w:p w14:paraId="1BD7A6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val="en-US" w:eastAsia="zh-CN"/>
              </w:rPr>
              <w:t>附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图5 路径1_3的解释案例</w:t>
            </w:r>
          </w:p>
        </w:tc>
        <w:tc>
          <w:tcPr>
            <w:tcW w:w="4853" w:type="dxa"/>
            <w:tcBorders>
              <w:tl2br w:val="nil"/>
              <w:tr2bl w:val="nil"/>
            </w:tcBorders>
            <w:vAlign w:val="center"/>
          </w:tcPr>
          <w:p w14:paraId="72C0A0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val="en-US" w:eastAsia="zh-CN"/>
              </w:rPr>
              <w:t>附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图6 路径1_4的解释案例</w:t>
            </w:r>
          </w:p>
        </w:tc>
      </w:tr>
      <w:tr w14:paraId="15DAE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783" w:type="dxa"/>
            <w:gridSpan w:val="2"/>
            <w:tcBorders>
              <w:tl2br w:val="nil"/>
              <w:tr2bl w:val="nil"/>
            </w:tcBorders>
            <w:vAlign w:val="center"/>
          </w:tcPr>
          <w:p w14:paraId="35BB79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4" w:lineRule="auto"/>
              <w:jc w:val="center"/>
              <w:outlineLvl w:val="2"/>
              <w:rPr>
                <w:rFonts w:cs="Times New Roman" w:eastAsia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114300" distR="114300">
                  <wp:extent cx="2879725" cy="1840230"/>
                  <wp:effectExtent l="0" t="0" r="15875" b="7620"/>
                  <wp:docPr id="1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184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78F9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783" w:type="dxa"/>
            <w:gridSpan w:val="2"/>
            <w:tcBorders>
              <w:tl2br w:val="nil"/>
              <w:tr2bl w:val="nil"/>
            </w:tcBorders>
            <w:vAlign w:val="center"/>
          </w:tcPr>
          <w:p w14:paraId="6F8BBF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4" w:lineRule="auto"/>
              <w:jc w:val="center"/>
              <w:outlineLvl w:val="2"/>
            </w:pPr>
            <w:r>
              <w:rPr>
                <w:rFonts w:hint="eastAsia" w:cs="Times New Roman"/>
                <w:b/>
                <w:bCs/>
                <w:sz w:val="18"/>
                <w:szCs w:val="18"/>
                <w:lang w:val="en-US" w:eastAsia="zh-CN"/>
              </w:rPr>
              <w:t>附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图7 路径1_5的解释案例</w:t>
            </w:r>
          </w:p>
        </w:tc>
      </w:tr>
      <w:tr w14:paraId="2F1B7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30" w:type="dxa"/>
            <w:tcBorders>
              <w:tl2br w:val="nil"/>
              <w:tr2bl w:val="nil"/>
            </w:tcBorders>
            <w:vAlign w:val="center"/>
          </w:tcPr>
          <w:p w14:paraId="1FA92B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4" w:lineRule="auto"/>
              <w:jc w:val="center"/>
              <w:outlineLvl w:val="2"/>
              <w:rPr>
                <w:rFonts w:cs="Times New Roman" w:eastAsia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114300" distR="114300">
                  <wp:extent cx="2879725" cy="1840230"/>
                  <wp:effectExtent l="0" t="0" r="15875" b="7620"/>
                  <wp:docPr id="12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184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3" w:type="dxa"/>
            <w:tcBorders>
              <w:tl2br w:val="nil"/>
              <w:tr2bl w:val="nil"/>
            </w:tcBorders>
            <w:vAlign w:val="center"/>
          </w:tcPr>
          <w:p w14:paraId="2B5415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4" w:lineRule="auto"/>
              <w:jc w:val="center"/>
              <w:outlineLvl w:val="2"/>
            </w:pPr>
            <w:r>
              <w:drawing>
                <wp:inline distT="0" distB="0" distL="114300" distR="114300">
                  <wp:extent cx="2879725" cy="1840230"/>
                  <wp:effectExtent l="0" t="0" r="15875" b="7620"/>
                  <wp:docPr id="15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184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533C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30" w:type="dxa"/>
            <w:tcBorders>
              <w:tl2br w:val="nil"/>
              <w:tr2bl w:val="nil"/>
            </w:tcBorders>
            <w:vAlign w:val="center"/>
          </w:tcPr>
          <w:p w14:paraId="749A13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4" w:lineRule="auto"/>
              <w:jc w:val="center"/>
              <w:outlineLvl w:val="2"/>
              <w:rPr>
                <w:rFonts w:cs="Times New Roman" w:eastAsia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val="en-US" w:eastAsia="zh-CN"/>
              </w:rPr>
              <w:t>附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图8 路径2_1a的解释案例</w:t>
            </w:r>
          </w:p>
        </w:tc>
        <w:tc>
          <w:tcPr>
            <w:tcW w:w="4853" w:type="dxa"/>
            <w:tcBorders>
              <w:tl2br w:val="nil"/>
              <w:tr2bl w:val="nil"/>
            </w:tcBorders>
            <w:vAlign w:val="center"/>
          </w:tcPr>
          <w:p w14:paraId="5DCC30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4" w:lineRule="auto"/>
              <w:jc w:val="center"/>
              <w:outlineLvl w:val="2"/>
            </w:pPr>
            <w:r>
              <w:rPr>
                <w:rFonts w:hint="eastAsia" w:cs="Times New Roman"/>
                <w:b/>
                <w:bCs/>
                <w:sz w:val="18"/>
                <w:szCs w:val="18"/>
                <w:lang w:val="en-US" w:eastAsia="zh-CN"/>
              </w:rPr>
              <w:t>附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图9 路径2_1b的解释案例</w:t>
            </w:r>
          </w:p>
        </w:tc>
      </w:tr>
      <w:tr w14:paraId="067A2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30" w:type="dxa"/>
            <w:tcBorders>
              <w:tl2br w:val="nil"/>
              <w:tr2bl w:val="nil"/>
            </w:tcBorders>
            <w:vAlign w:val="center"/>
          </w:tcPr>
          <w:p w14:paraId="2CB8F3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4" w:lineRule="auto"/>
              <w:jc w:val="center"/>
              <w:outlineLvl w:val="2"/>
              <w:rPr>
                <w:rFonts w:cs="Times New Roman" w:eastAsia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114300" distR="114300">
                  <wp:extent cx="2879725" cy="1840230"/>
                  <wp:effectExtent l="0" t="0" r="15875" b="7620"/>
                  <wp:docPr id="16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184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3" w:type="dxa"/>
            <w:tcBorders>
              <w:tl2br w:val="nil"/>
              <w:tr2bl w:val="nil"/>
            </w:tcBorders>
            <w:vAlign w:val="center"/>
          </w:tcPr>
          <w:p w14:paraId="02777B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4" w:lineRule="auto"/>
              <w:jc w:val="center"/>
              <w:outlineLvl w:val="2"/>
              <w:rPr>
                <w:rFonts w:cs="Times New Roman" w:eastAsia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114300" distR="114300">
                  <wp:extent cx="2879725" cy="1840230"/>
                  <wp:effectExtent l="0" t="0" r="15875" b="7620"/>
                  <wp:docPr id="17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184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5CE4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30" w:type="dxa"/>
            <w:tcBorders>
              <w:tl2br w:val="nil"/>
              <w:tr2bl w:val="nil"/>
            </w:tcBorders>
            <w:vAlign w:val="center"/>
          </w:tcPr>
          <w:p w14:paraId="6FF22F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4" w:lineRule="auto"/>
              <w:jc w:val="center"/>
              <w:outlineLvl w:val="2"/>
            </w:pPr>
            <w:r>
              <w:rPr>
                <w:rFonts w:hint="eastAsia" w:cs="Times New Roman"/>
                <w:b/>
                <w:bCs/>
                <w:sz w:val="18"/>
                <w:szCs w:val="18"/>
                <w:lang w:val="en-US" w:eastAsia="zh-CN"/>
              </w:rPr>
              <w:t>附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图10 路径2_2的解释案例</w:t>
            </w:r>
          </w:p>
        </w:tc>
        <w:tc>
          <w:tcPr>
            <w:tcW w:w="4853" w:type="dxa"/>
            <w:tcBorders>
              <w:tl2br w:val="nil"/>
              <w:tr2bl w:val="nil"/>
            </w:tcBorders>
            <w:vAlign w:val="center"/>
          </w:tcPr>
          <w:p w14:paraId="321349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4" w:lineRule="auto"/>
              <w:jc w:val="center"/>
              <w:outlineLvl w:val="2"/>
            </w:pPr>
            <w:r>
              <w:rPr>
                <w:rFonts w:hint="eastAsia" w:cs="Times New Roman"/>
                <w:b/>
                <w:bCs/>
                <w:sz w:val="18"/>
                <w:szCs w:val="18"/>
                <w:lang w:val="en-US" w:eastAsia="zh-CN"/>
              </w:rPr>
              <w:t>附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图11 路径2_3的解释案例</w:t>
            </w:r>
          </w:p>
        </w:tc>
      </w:tr>
    </w:tbl>
    <w:p w14:paraId="772901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auto"/>
        <w:rPr>
          <w:rFonts w:hint="eastAsia" w:cstheme="minorBidi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theme="minorBidi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参考文献</w:t>
      </w:r>
    </w:p>
    <w:p w14:paraId="3E496C16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420" w:firstLineChars="200"/>
        <w:jc w:val="both"/>
        <w:textAlignment w:val="auto"/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bookmarkStart w:id="1" w:name="_Ref24167"/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谭海波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范梓腾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杜运周.技术管理能力、注意力分配与地方政府网站建设——一项基于TOE框架的组态分析[J].北京:管理世界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2019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(9):81-94.</w:t>
      </w:r>
      <w:bookmarkEnd w:id="1"/>
    </w:p>
    <w:p w14:paraId="2B55DB04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420" w:firstLineChars="200"/>
        <w:jc w:val="both"/>
        <w:textAlignment w:val="auto"/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bookmarkStart w:id="2" w:name="_Ref24189"/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陶克涛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张术丹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赵云辉.什么决定了政府公共卫生治理绩效？——基于QCA方法的联动效应研究.北京:管理世界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2021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(5):128-138+156+10.</w:t>
      </w:r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30AC8B"/>
    <w:multiLevelType w:val="singleLevel"/>
    <w:tmpl w:val="2F30AC8B"/>
    <w:lvl w:ilvl="0" w:tentative="0">
      <w:start w:val="1"/>
      <w:numFmt w:val="decimal"/>
      <w:isLgl/>
      <w:suff w:val="nothing"/>
      <w:lvlText w:val="[%1]"/>
      <w:lvlJc w:val="left"/>
      <w:pPr>
        <w:tabs>
          <w:tab w:val="left" w:pos="0"/>
        </w:tabs>
        <w:ind w:left="0" w:leftChars="0" w:firstLine="0" w:firstLineChars="0"/>
      </w:pPr>
      <w:rPr>
        <w:rFonts w:hint="default" w:ascii="Times New Roman" w:hAnsi="Times New Roman" w:eastAsia="宋体" w:cs="Times New Roman"/>
        <w:sz w:val="21"/>
        <w:szCs w:val="2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254681"/>
    <w:rsid w:val="0B0A7CC3"/>
    <w:rsid w:val="0F6B0534"/>
    <w:rsid w:val="17605226"/>
    <w:rsid w:val="195C58EE"/>
    <w:rsid w:val="1B254681"/>
    <w:rsid w:val="1EEA245F"/>
    <w:rsid w:val="20284BA9"/>
    <w:rsid w:val="21702A62"/>
    <w:rsid w:val="2DE03063"/>
    <w:rsid w:val="37DE3663"/>
    <w:rsid w:val="3E5A5179"/>
    <w:rsid w:val="492D2DDC"/>
    <w:rsid w:val="4B1C204B"/>
    <w:rsid w:val="51F168C5"/>
    <w:rsid w:val="526817F5"/>
    <w:rsid w:val="571E5FB7"/>
    <w:rsid w:val="71121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50" w:beforeLines="50" w:after="50" w:afterLines="50" w:line="560" w:lineRule="exact"/>
      <w:jc w:val="center"/>
      <w:outlineLvl w:val="0"/>
    </w:pPr>
    <w:rPr>
      <w:rFonts w:eastAsia="方正小标宋简体" w:asciiTheme="minorAscii" w:hAnsiTheme="minorAscii" w:cstheme="minorBidi"/>
      <w:bCs/>
      <w:kern w:val="44"/>
      <w:sz w:val="32"/>
      <w:szCs w:val="44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="0" w:beforeLines="0" w:after="0" w:afterLines="0" w:line="560" w:lineRule="atLeast"/>
      <w:ind w:firstLine="881" w:firstLineChars="200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2"/>
    </w:pPr>
    <w:rPr>
      <w:rFonts w:ascii="Times New Roman" w:hAnsi="Times New Roman"/>
      <w:b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endnote text"/>
    <w:basedOn w:val="1"/>
    <w:qFormat/>
    <w:uiPriority w:val="0"/>
    <w:pPr>
      <w:snapToGrid w:val="0"/>
      <w:jc w:val="left"/>
    </w:pPr>
    <w:rPr>
      <w:rFonts w:cs="Times New Roman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otnote reference"/>
    <w:basedOn w:val="9"/>
    <w:qFormat/>
    <w:uiPriority w:val="0"/>
    <w:rPr>
      <w:vertAlign w:val="superscript"/>
    </w:rPr>
  </w:style>
  <w:style w:type="character" w:customStyle="1" w:styleId="11">
    <w:name w:val="标题 2 字符"/>
    <w:link w:val="3"/>
    <w:qFormat/>
    <w:uiPriority w:val="0"/>
    <w:rPr>
      <w:rFonts w:ascii="Arial" w:hAnsi="Arial" w:eastAsia="黑体" w:cs="Times New Roman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513</Words>
  <Characters>607</Characters>
  <Lines>0</Lines>
  <Paragraphs>0</Paragraphs>
  <TotalTime>7</TotalTime>
  <ScaleCrop>false</ScaleCrop>
  <LinksUpToDate>false</LinksUpToDate>
  <CharactersWithSpaces>618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2025-02-20T04:07:00Z</dcterms:created>
  <dc:creator>小丸子</dc:creator>
  <cp:lastModifiedBy>小丸子</cp:lastModifiedBy>
  <dcterms:modified xsi:type="dcterms:W3CDTF">2025-04-13T04:08:27Z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eyJoZGlkIjoiYTc2ZGZiNzZiNDVlOGViOWVmM2JhOTY0NGJkNjUyYzgiLCJ1c2VySWQiOiI0Mjc0NzA3ODYifQ==</vt:lpwstr>
  </property>
  <property fmtid="{D5CDD505-2E9C-101B-9397-08002B2CF9AE}" pid="4" name="ICV">
    <vt:lpwstr>CA81716715DA49F69624363C6455685B_12</vt:lpwstr>
  </property>
</Properties>
</file>